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第六章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律师在中外合作勘探、开发油气项目中涉及的法律服务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第75条律师在开展中外合作开发油气业务过程中，应熟悉产量分成合同，协助开展商务谈判。目前，中石油和中海油分别制定了陆上和海上作业产量分成合同的范本，主要条款十分相似，主要包括：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（1) 最低义务勘探工作量 (Minimum Work Commitment)；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（2) 最低义务投资额条款 (Minimum Investment)；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（3) 合同区域和期限 (Contract Area and Term)；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（4) 商业价值确认条款 （Commercial Discovery）；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（5) 转让条款（Assignment）；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（6) 退还条款（relinquishment）；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（7) 工作计划和预算条款（Work  Programme and Budget）；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（8) 联管会条款（JMC）；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（9) 成本回收和投资报酬条款（cost recovery）；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（10) 结算油价定价条款 (pricing)；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（11) 汇率条款 (remittance)；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（12) 定金和税费（bonus, royalty）；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（13) 利润分成（profit split）；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（14) 政府参股比例（Government take）；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（15) 弃置条款（Abandonment）；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（16) 不可抗力 (Force Majeure)；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（17) 稳定性条款（Stabilization）；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（18) 仲裁条款（Arbitration）；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 xml:space="preserve">  （19) 开发合同附件—会计程序 (accounting procedure)。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第76条律师在开展涉外石油勘探、开发业务中，应熟悉开发企业缴纳的税费情况。中外合作勘探、开发中涉及的合同财税条款具体包括：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中外合作油气开发财税规定主要包括四个部分： 签字定金、矿区使用费（2011年11月起改为资源税）、税收、政府参股。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签字定金为外方缴付，金额根据资源量和经济价值不同而变化。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中方及外方均须缴纳的税收包括：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（1）  资源税：从价5%。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（2）  增值税：销价5% （不抵扣进项税额，其他情况下为17%）。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（3）  矿产资源补偿费：暂按销售收入 1%。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（4）  公司所得税：25% （不享受减免）。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>
        <w:pStyle w:val="2"/>
        <w:ind w:firstLine="400" w:firstLineChars="200"/>
        <w:rPr>
          <w:rFonts w:hint="eastAsia" w:hAnsi="宋体" w:cs="宋体"/>
        </w:rPr>
      </w:pPr>
      <w:r>
        <w:rPr>
          <w:rFonts w:hint="eastAsia" w:hAnsi="宋体" w:cs="宋体"/>
        </w:rPr>
        <w:t>（5）  原油出口关税：5%（2007年7月前签订到2012年8月1日前免税）。</w:t>
      </w:r>
    </w:p>
    <w:p>
      <w:pPr>
        <w:pStyle w:val="2"/>
        <w:ind w:firstLine="400" w:firstLineChars="200"/>
        <w:rPr>
          <w:rFonts w:hint="eastAsia" w:hAnsi="宋体" w:cs="宋体"/>
        </w:rPr>
      </w:pPr>
    </w:p>
    <w:p>
      <w:pPr/>
      <w:r>
        <w:rPr>
          <w:rFonts w:hint="eastAsia" w:hAnsi="宋体" w:cs="宋体"/>
        </w:rPr>
        <w:t>（6）  暴利税：40美元/桶以上起征，2011年11月后改为55美元/桶（价格为销售价加权月平均。五级超额累进，最高可达40% 的税率（75美元以上）。 计算公式为： 每桶原油征收额=（油价-起征点）×税率-速算扣除数。政府参股则根据双方协商确定，通常为中方占权益的51%， 外方为49%。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文泉驿微米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文泉驿微米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Courier New">
    <w:altName w:val="DejaVu Sans"/>
    <w:panose1 w:val="02070309020205020404"/>
    <w:charset w:val="00"/>
    <w:family w:val="swiss"/>
    <w:pitch w:val="default"/>
    <w:sig w:usb0="00000000" w:usb1="00000000" w:usb2="00000009" w:usb3="00000000" w:csb0="000001FF" w:csb1="00000000"/>
  </w:font>
  <w:font w:name="方正楷体_GBK">
    <w:altName w:val="文泉驿微米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MathJax_AMS">
    <w:panose1 w:val="00000000000000000000"/>
    <w:charset w:val="00"/>
    <w:family w:val="auto"/>
    <w:pitch w:val="default"/>
    <w:sig w:usb0="800000EF" w:usb1="1000ECED" w:usb2="00000000" w:usb3="00000000" w:csb0="2000008F" w:csb1="5E030000"/>
  </w:font>
  <w:font w:name="AR PL UKai HK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FF836"/>
    <w:rsid w:val="7EDFF8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社区版_10.1.0.5672_F1E327BC-269C-435d-A152-05C5408002CA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2017-12-15T14:13:00Z</dcterms:created>
  <dc:creator>oem</dc:creator>
  <cp:lastModifiedBy>oem</cp:lastModifiedBy>
  <dcterms:modified xsi:type="dcterms:W3CDTF">2017-12-15T14:13:08Z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2052-10.1.0.5672</vt:lpwstr>
  </property>
</Properties>
</file>